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6C51" w14:textId="77777777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sz w:val="20"/>
          <w:szCs w:val="20"/>
        </w:rPr>
        <w:t>P</w:t>
      </w:r>
      <w:r w:rsidR="00332732">
        <w:rPr>
          <w:rFonts w:ascii="Arial" w:hAnsi="Arial"/>
          <w:b/>
          <w:sz w:val="20"/>
          <w:szCs w:val="20"/>
        </w:rPr>
        <w:t>PH:</w:t>
      </w:r>
      <w:r>
        <w:rPr>
          <w:rFonts w:ascii="Arial" w:hAnsi="Arial"/>
          <w:b/>
          <w:sz w:val="20"/>
          <w:szCs w:val="20"/>
        </w:rPr>
        <w:t xml:space="preserve"> Annual General Mandate 2021</w:t>
      </w:r>
    </w:p>
    <w:p w14:paraId="13C23239" w14:textId="33DE2CEE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September 25, 2021, </w:t>
      </w:r>
      <w:proofErr w:type="spellStart"/>
      <w:r>
        <w:rPr>
          <w:rFonts w:ascii="Arial" w:hAnsi="Arial"/>
          <w:sz w:val="20"/>
          <w:szCs w:val="20"/>
        </w:rPr>
        <w:t>Phong</w:t>
      </w:r>
      <w:proofErr w:type="spellEnd"/>
      <w:r>
        <w:rPr>
          <w:rFonts w:ascii="Arial" w:hAnsi="Arial"/>
          <w:sz w:val="20"/>
          <w:szCs w:val="20"/>
        </w:rPr>
        <w:t xml:space="preserve"> Phu Corporation announced </w:t>
      </w:r>
      <w:r w:rsidR="00200482">
        <w:rPr>
          <w:rFonts w:ascii="Arial" w:hAnsi="Arial"/>
          <w:sz w:val="20"/>
          <w:szCs w:val="20"/>
        </w:rPr>
        <w:t xml:space="preserve">Annual </w:t>
      </w:r>
      <w:r>
        <w:rPr>
          <w:rFonts w:ascii="Arial" w:hAnsi="Arial"/>
          <w:sz w:val="20"/>
          <w:szCs w:val="20"/>
        </w:rPr>
        <w:t>General Mandate No. 329/NQ-DHDCD/PP as follows:</w:t>
      </w:r>
    </w:p>
    <w:p w14:paraId="1C0D8389" w14:textId="77777777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1. Approve the Report on activities of the Board of Directors in 2020</w:t>
      </w:r>
    </w:p>
    <w:p w14:paraId="4D7BD58B" w14:textId="77777777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approved the Report on activities of the Board of Directors in 2020.</w:t>
      </w:r>
    </w:p>
    <w:p w14:paraId="22BC06DF" w14:textId="77777777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2. Approve the Report on production and business results in 2020</w:t>
      </w:r>
    </w:p>
    <w:p w14:paraId="22605688" w14:textId="7CED6548" w:rsidR="00652173" w:rsidRPr="009911CF" w:rsidRDefault="009911CF" w:rsidP="003926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Meeting approved the </w:t>
      </w:r>
      <w:r w:rsidR="00FC0341">
        <w:rPr>
          <w:rFonts w:ascii="Arial" w:hAnsi="Arial"/>
          <w:sz w:val="20"/>
          <w:szCs w:val="20"/>
          <w:lang w:val="vi-VN"/>
        </w:rPr>
        <w:t>Income Statement</w:t>
      </w:r>
      <w:r>
        <w:rPr>
          <w:rFonts w:ascii="Arial" w:hAnsi="Arial"/>
          <w:sz w:val="20"/>
          <w:szCs w:val="20"/>
        </w:rPr>
        <w:t xml:space="preserve"> 2020 with the following main targets:</w:t>
      </w:r>
    </w:p>
    <w:p w14:paraId="64E457C0" w14:textId="0113F241" w:rsidR="00652173" w:rsidRPr="009911CF" w:rsidRDefault="00FC0341" w:rsidP="00392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vi-VN"/>
        </w:rPr>
        <w:t>Income Statement</w:t>
      </w:r>
      <w:r w:rsidR="009911CF">
        <w:rPr>
          <w:rFonts w:ascii="Arial" w:hAnsi="Arial"/>
          <w:sz w:val="20"/>
          <w:szCs w:val="20"/>
        </w:rPr>
        <w:t xml:space="preserve"> 2020 (Consolidated):</w:t>
      </w: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718"/>
        <w:gridCol w:w="2442"/>
        <w:gridCol w:w="1369"/>
        <w:gridCol w:w="1328"/>
        <w:gridCol w:w="1333"/>
        <w:gridCol w:w="1829"/>
      </w:tblGrid>
      <w:tr w:rsidR="00652173" w:rsidRPr="009911CF" w14:paraId="48399FF2" w14:textId="77777777" w:rsidTr="004A155A">
        <w:trPr>
          <w:trHeight w:val="20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07515E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C95D3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Targets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09C73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2B963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 Plan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2DA52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 Result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8A5A" w14:textId="3125F95C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% </w:t>
            </w:r>
            <w:r w:rsidR="00FC0341">
              <w:rPr>
                <w:rFonts w:ascii="Arial" w:hAnsi="Arial"/>
                <w:sz w:val="20"/>
                <w:szCs w:val="20"/>
              </w:rPr>
              <w:t>Compared</w:t>
            </w:r>
            <w:r>
              <w:rPr>
                <w:rFonts w:ascii="Arial" w:hAnsi="Arial"/>
                <w:sz w:val="20"/>
                <w:szCs w:val="20"/>
              </w:rPr>
              <w:t xml:space="preserve"> to that in the plan for 2020</w:t>
            </w:r>
          </w:p>
        </w:tc>
      </w:tr>
      <w:tr w:rsidR="00652173" w:rsidRPr="009911CF" w14:paraId="6DA36559" w14:textId="77777777" w:rsidTr="004A155A">
        <w:trPr>
          <w:trHeight w:val="20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B9ED7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D8C7C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revenue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75D2D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25A9D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2,500.0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F177FE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2,464.7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531C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98.6%</w:t>
            </w:r>
          </w:p>
        </w:tc>
      </w:tr>
      <w:tr w:rsidR="00652173" w:rsidRPr="009911CF" w14:paraId="7CF56DB6" w14:textId="77777777" w:rsidTr="004A155A">
        <w:trPr>
          <w:trHeight w:val="20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74012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5D8F95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5A337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759BF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210.0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ED7254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285.6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7D64F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136%</w:t>
            </w:r>
          </w:p>
        </w:tc>
      </w:tr>
      <w:tr w:rsidR="00652173" w:rsidRPr="009911CF" w14:paraId="281654A1" w14:textId="77777777" w:rsidTr="004A155A">
        <w:trPr>
          <w:trHeight w:val="20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ED73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3AC8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after tax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DA20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D1C1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204.0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A7D0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283.4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B9955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139%</w:t>
            </w:r>
          </w:p>
        </w:tc>
      </w:tr>
    </w:tbl>
    <w:p w14:paraId="7BB97CFA" w14:textId="17246769" w:rsidR="00652173" w:rsidRPr="009911CF" w:rsidRDefault="00FC0341" w:rsidP="00991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vi-VN"/>
        </w:rPr>
        <w:t>Income Statement</w:t>
      </w:r>
      <w:r w:rsidR="009911CF">
        <w:rPr>
          <w:rFonts w:ascii="Arial" w:hAnsi="Arial"/>
          <w:sz w:val="20"/>
          <w:szCs w:val="20"/>
        </w:rPr>
        <w:t xml:space="preserve"> 2020 (Holding Company):</w:t>
      </w:r>
    </w:p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710"/>
        <w:gridCol w:w="2475"/>
        <w:gridCol w:w="1411"/>
        <w:gridCol w:w="1322"/>
        <w:gridCol w:w="1328"/>
        <w:gridCol w:w="1773"/>
      </w:tblGrid>
      <w:tr w:rsidR="00652173" w:rsidRPr="009911CF" w14:paraId="034FB793" w14:textId="77777777" w:rsidTr="004A155A">
        <w:trPr>
          <w:trHeight w:val="20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FC7085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754ECC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Targets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5CAF9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C918A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 Plan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C2E48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 Results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FB8A" w14:textId="4A09A8A6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% </w:t>
            </w:r>
            <w:r w:rsidR="00FC0341">
              <w:rPr>
                <w:rFonts w:ascii="Arial" w:hAnsi="Arial"/>
                <w:sz w:val="20"/>
                <w:szCs w:val="20"/>
              </w:rPr>
              <w:t>Compared</w:t>
            </w:r>
            <w:r>
              <w:rPr>
                <w:rFonts w:ascii="Arial" w:hAnsi="Arial"/>
                <w:sz w:val="20"/>
                <w:szCs w:val="20"/>
              </w:rPr>
              <w:t xml:space="preserve"> to that in the plan for 2020</w:t>
            </w:r>
          </w:p>
        </w:tc>
      </w:tr>
      <w:tr w:rsidR="00652173" w:rsidRPr="009911CF" w14:paraId="61D0B47F" w14:textId="77777777" w:rsidTr="004A155A">
        <w:trPr>
          <w:trHeight w:val="20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423F1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7B5A8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revenue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4BEF1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20123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1,800.0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68493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1,906.8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D660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105.9%</w:t>
            </w:r>
          </w:p>
        </w:tc>
      </w:tr>
      <w:tr w:rsidR="00652173" w:rsidRPr="009911CF" w14:paraId="386F2606" w14:textId="77777777" w:rsidTr="004A155A">
        <w:trPr>
          <w:trHeight w:val="20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A959AF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E2577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before tax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42D96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9B4ECF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200.0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2B47D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205.8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011FE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102.9%</w:t>
            </w:r>
          </w:p>
        </w:tc>
      </w:tr>
      <w:tr w:rsidR="00652173" w:rsidRPr="009911CF" w14:paraId="4607F1CB" w14:textId="77777777" w:rsidTr="004A155A">
        <w:trPr>
          <w:trHeight w:val="20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128BA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832BA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after tax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2D834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12E33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200.0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A357F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205.4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2BEA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102.7%</w:t>
            </w:r>
          </w:p>
        </w:tc>
      </w:tr>
      <w:tr w:rsidR="00652173" w:rsidRPr="009911CF" w14:paraId="4CD11537" w14:textId="77777777" w:rsidTr="004A155A">
        <w:trPr>
          <w:trHeight w:val="20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3C14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A940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Dividend payment rate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E15E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B29B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10%-15%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B3EEC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B27C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120.0%</w:t>
            </w:r>
          </w:p>
        </w:tc>
      </w:tr>
    </w:tbl>
    <w:p w14:paraId="0C27B47A" w14:textId="77777777" w:rsidR="00652173" w:rsidRPr="009911CF" w:rsidRDefault="009911CF" w:rsidP="00991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Approve the production and business plan for 2021</w:t>
      </w:r>
    </w:p>
    <w:p w14:paraId="6A436976" w14:textId="77777777" w:rsidR="00652173" w:rsidRPr="009911CF" w:rsidRDefault="009911CF" w:rsidP="009911CF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approved the production and business plan for 2021 with the following main targets:</w:t>
      </w:r>
    </w:p>
    <w:tbl>
      <w:tblPr>
        <w:tblStyle w:val="a1"/>
        <w:tblW w:w="5000" w:type="pct"/>
        <w:jc w:val="center"/>
        <w:tblLook w:val="0000" w:firstRow="0" w:lastRow="0" w:firstColumn="0" w:lastColumn="0" w:noHBand="0" w:noVBand="0"/>
      </w:tblPr>
      <w:tblGrid>
        <w:gridCol w:w="795"/>
        <w:gridCol w:w="2399"/>
        <w:gridCol w:w="1797"/>
        <w:gridCol w:w="2051"/>
        <w:gridCol w:w="1977"/>
      </w:tblGrid>
      <w:tr w:rsidR="00652173" w:rsidRPr="009911CF" w14:paraId="24ADF718" w14:textId="77777777" w:rsidTr="004A155A">
        <w:trPr>
          <w:trHeight w:val="20"/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1B61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23BBF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Targets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EDE4BE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6D1ED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2021 Plan (Consolidated)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52BCC" w14:textId="6C142CCC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2021 Plan (Holding Company)</w:t>
            </w:r>
          </w:p>
        </w:tc>
      </w:tr>
      <w:tr w:rsidR="00652173" w:rsidRPr="009911CF" w14:paraId="157BA10C" w14:textId="77777777" w:rsidTr="004A155A">
        <w:trPr>
          <w:trHeight w:val="20"/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D203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F9EFA4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revenue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6B449E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34134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2,220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49C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1,260</w:t>
            </w:r>
          </w:p>
        </w:tc>
      </w:tr>
      <w:tr w:rsidR="00652173" w:rsidRPr="009911CF" w14:paraId="3EAA0B8C" w14:textId="77777777" w:rsidTr="004A155A">
        <w:trPr>
          <w:trHeight w:val="20"/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DE0FB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0DCED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before tax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C44B5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8B4EE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DD46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</w:t>
            </w:r>
          </w:p>
        </w:tc>
      </w:tr>
      <w:tr w:rsidR="00652173" w:rsidRPr="009911CF" w14:paraId="2CB45620" w14:textId="77777777" w:rsidTr="004A155A">
        <w:trPr>
          <w:trHeight w:val="20"/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9C01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9A2D95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after tax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D38C1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Billion VND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B1210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D9E0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</w:t>
            </w:r>
          </w:p>
        </w:tc>
      </w:tr>
      <w:tr w:rsidR="00652173" w:rsidRPr="009911CF" w14:paraId="2B7E85D4" w14:textId="77777777" w:rsidTr="004A155A">
        <w:trPr>
          <w:trHeight w:val="20"/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8CC7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8A59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Dividend payment rate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603E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F76D2" w14:textId="77777777" w:rsidR="00652173" w:rsidRPr="009911CF" w:rsidRDefault="00652173" w:rsidP="009911CF">
            <w:pP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5D5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15%-18%</w:t>
            </w:r>
          </w:p>
        </w:tc>
      </w:tr>
    </w:tbl>
    <w:p w14:paraId="2FE0DF99" w14:textId="77777777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3. Approve the Report on examining the production, business and financial activities in 2020 of the Supervisory Board.</w:t>
      </w:r>
    </w:p>
    <w:p w14:paraId="60EEB24B" w14:textId="77777777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approved the Report on examining the production, business and financial activities in 2020 of the Supervisory Board.</w:t>
      </w:r>
    </w:p>
    <w:p w14:paraId="403ACC8D" w14:textId="5D077309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4. Approve the Audited Combined and Consolidated Financial Statements 2020</w:t>
      </w:r>
    </w:p>
    <w:p w14:paraId="2AC606E1" w14:textId="2CE9A2CA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The Meeting approved the Combined and Consolidated Financial Statements 2020 of </w:t>
      </w:r>
      <w:proofErr w:type="spellStart"/>
      <w:r>
        <w:rPr>
          <w:rFonts w:ascii="Arial" w:hAnsi="Arial"/>
          <w:sz w:val="20"/>
          <w:szCs w:val="20"/>
        </w:rPr>
        <w:t>Phong</w:t>
      </w:r>
      <w:proofErr w:type="spellEnd"/>
      <w:r>
        <w:rPr>
          <w:rFonts w:ascii="Arial" w:hAnsi="Arial"/>
          <w:sz w:val="20"/>
          <w:szCs w:val="20"/>
        </w:rPr>
        <w:t xml:space="preserve"> Phu Corporation</w:t>
      </w:r>
      <w:r w:rsidR="004C0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audited by A&amp;C Auditing and Consulting Company Limited.</w:t>
      </w:r>
    </w:p>
    <w:p w14:paraId="0A02AE6C" w14:textId="5578CC49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‎‎Article 5. Approve the Plan on profit distribution and </w:t>
      </w:r>
      <w:r w:rsidR="00E51FC7">
        <w:rPr>
          <w:rFonts w:ascii="Arial" w:hAnsi="Arial"/>
          <w:sz w:val="20"/>
          <w:szCs w:val="20"/>
        </w:rPr>
        <w:t>dividend payment 2020</w:t>
      </w:r>
      <w:r>
        <w:rPr>
          <w:rFonts w:ascii="Arial" w:hAnsi="Arial"/>
          <w:sz w:val="20"/>
          <w:szCs w:val="20"/>
        </w:rPr>
        <w:t>.</w:t>
      </w:r>
    </w:p>
    <w:p w14:paraId="23EA200E" w14:textId="7823D51E" w:rsidR="00652173" w:rsidRPr="009911CF" w:rsidRDefault="009911CF" w:rsidP="00C61C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Meeting approved the Plan on profit distribution and </w:t>
      </w:r>
      <w:r w:rsidR="00E51FC7">
        <w:rPr>
          <w:rFonts w:ascii="Arial" w:hAnsi="Arial"/>
          <w:sz w:val="20"/>
          <w:szCs w:val="20"/>
        </w:rPr>
        <w:t>dividend payment 2020</w:t>
      </w:r>
      <w:r>
        <w:rPr>
          <w:rFonts w:ascii="Arial" w:hAnsi="Arial"/>
          <w:sz w:val="20"/>
          <w:szCs w:val="20"/>
        </w:rPr>
        <w:t>, specifically as follows: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567"/>
        <w:gridCol w:w="5332"/>
        <w:gridCol w:w="1210"/>
        <w:gridCol w:w="1910"/>
      </w:tblGrid>
      <w:tr w:rsidR="00652173" w:rsidRPr="009911CF" w14:paraId="40141A54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DC831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9EDB0F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Contents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469B0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6277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Amount</w:t>
            </w:r>
          </w:p>
        </w:tc>
      </w:tr>
      <w:tr w:rsidR="00652173" w:rsidRPr="009911CF" w14:paraId="14D44217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42E12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C490C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Undistributed profit after tax in the Consolidated Financial Statements 2020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3D71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EBC2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456,840,597,191</w:t>
            </w:r>
          </w:p>
        </w:tc>
      </w:tr>
      <w:tr w:rsidR="00652173" w:rsidRPr="009911CF" w14:paraId="6E991B80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F828C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4010A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used for distribution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CC051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C8AE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205,429,521,547</w:t>
            </w:r>
          </w:p>
        </w:tc>
      </w:tr>
      <w:tr w:rsidR="00652173" w:rsidRPr="009911CF" w14:paraId="4FFE2CC1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C0F31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39868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Deductions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E9C69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4D437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389,333,334</w:t>
            </w:r>
          </w:p>
        </w:tc>
      </w:tr>
      <w:tr w:rsidR="00652173" w:rsidRPr="009911CF" w14:paraId="2D12BF04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07BBB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B9EA0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Expected profit for distribution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54A48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8A4B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205,040,188,213</w:t>
            </w:r>
          </w:p>
        </w:tc>
      </w:tr>
      <w:tr w:rsidR="00652173" w:rsidRPr="009911CF" w14:paraId="14731DAB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36D67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CD8CA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Dividend distribution to shareholders (18%/par value of share)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A008B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A37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134,407,603,800</w:t>
            </w:r>
          </w:p>
        </w:tc>
      </w:tr>
      <w:tr w:rsidR="00652173" w:rsidRPr="009911CF" w14:paraId="7752183F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45F24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6B65E1" w14:textId="6DBA3EB0" w:rsidR="00652173" w:rsidRPr="009911CF" w:rsidRDefault="00CD0D48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Appropriation for bonus</w:t>
            </w:r>
            <w:r w:rsidR="009911CF">
              <w:rPr>
                <w:rFonts w:ascii="Arial" w:hAnsi="Arial"/>
                <w:sz w:val="20"/>
                <w:szCs w:val="20"/>
              </w:rPr>
              <w:t xml:space="preserve"> to the Board of Directors, the Supervisory Board, the Executive Board and diplomatic expense (3% of distributed profit) 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304068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39D3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6,151,206,000</w:t>
            </w:r>
          </w:p>
        </w:tc>
      </w:tr>
      <w:tr w:rsidR="00652173" w:rsidRPr="009911CF" w14:paraId="6AFCC8B8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79129D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CBCFE6" w14:textId="3174F53F" w:rsidR="00652173" w:rsidRPr="009911CF" w:rsidRDefault="00217066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Appropriation for b</w:t>
            </w:r>
            <w:r w:rsidR="009911CF">
              <w:rPr>
                <w:rFonts w:ascii="Arial" w:hAnsi="Arial"/>
                <w:sz w:val="20"/>
                <w:szCs w:val="20"/>
              </w:rPr>
              <w:t>onus for exceeding the plan (10% of profit exceeding the plan)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F3939C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26E4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542,952,000</w:t>
            </w:r>
          </w:p>
        </w:tc>
      </w:tr>
      <w:tr w:rsidR="00652173" w:rsidRPr="009911CF" w14:paraId="1F6F8E7C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AD268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AB708A" w14:textId="6D4707E8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Appropriation for investment and development fund (20% of distributed profit)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094F32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350A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41,008,038,000</w:t>
            </w:r>
          </w:p>
        </w:tc>
      </w:tr>
      <w:tr w:rsidR="00652173" w:rsidRPr="009911CF" w14:paraId="647301FE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B9FA53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4FC6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Appropriation for bonus and welfare fund (7% of distributed profit)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12A78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17F7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14,352,813,000</w:t>
            </w:r>
          </w:p>
        </w:tc>
      </w:tr>
      <w:tr w:rsidR="00652173" w:rsidRPr="009911CF" w14:paraId="750C8F38" w14:textId="77777777" w:rsidTr="004A155A">
        <w:trPr>
          <w:trHeight w:val="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05580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CDC61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Remaining profit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F36A6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06E19" w14:textId="77777777" w:rsidR="00652173" w:rsidRPr="009911CF" w:rsidRDefault="009911CF" w:rsidP="00991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8,577,575,413</w:t>
            </w:r>
          </w:p>
        </w:tc>
      </w:tr>
    </w:tbl>
    <w:p w14:paraId="7DDF44E3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Dividend payment rate in 2020: 18%/par value.</w:t>
      </w:r>
    </w:p>
    <w:p w14:paraId="7962A7E1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Source for implementation: From undistributed profit after tax in the Audited Consolidated Financial Statements 2020.</w:t>
      </w:r>
    </w:p>
    <w:p w14:paraId="58CF66D6" w14:textId="6A00A488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above </w:t>
      </w:r>
      <w:r w:rsidR="00F86953">
        <w:rPr>
          <w:rFonts w:ascii="Arial" w:hAnsi="Arial"/>
          <w:sz w:val="20"/>
          <w:szCs w:val="20"/>
        </w:rPr>
        <w:t>appropriation</w:t>
      </w:r>
      <w:r>
        <w:rPr>
          <w:rFonts w:ascii="Arial" w:hAnsi="Arial"/>
          <w:sz w:val="20"/>
          <w:szCs w:val="20"/>
        </w:rPr>
        <w:t xml:space="preserve"> may change depending on the tax </w:t>
      </w:r>
      <w:r w:rsidR="00F86953">
        <w:rPr>
          <w:rFonts w:ascii="Arial" w:hAnsi="Arial"/>
          <w:sz w:val="20"/>
          <w:szCs w:val="20"/>
        </w:rPr>
        <w:t>settlement</w:t>
      </w:r>
      <w:r>
        <w:rPr>
          <w:rFonts w:ascii="Arial" w:hAnsi="Arial"/>
          <w:sz w:val="20"/>
          <w:szCs w:val="20"/>
        </w:rPr>
        <w:t xml:space="preserve"> results in 2020 of the tax authorities, affecting profit for distribution. The Corporation will report when there is a change to the Shareholders as soon as possible.</w:t>
      </w:r>
    </w:p>
    <w:p w14:paraId="27A90293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 income tax arising from dividends will be deducted when shareholders receive dividends of 2020 according to regulations.</w:t>
      </w:r>
    </w:p>
    <w:p w14:paraId="19D48B49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Board of Directors is authorized to implement in detail the dividend payment plan for existing shareholders.</w:t>
      </w:r>
    </w:p>
    <w:p w14:paraId="09F026BF" w14:textId="082B69BA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‎‎Article 6. Remuneration and bonus for the Board of Directors, the Supervisory Board, the Executive Board and diplomatic expense in 2020 and </w:t>
      </w:r>
      <w:r w:rsidR="00F86953">
        <w:rPr>
          <w:rFonts w:ascii="Arial" w:hAnsi="Arial"/>
          <w:sz w:val="20"/>
          <w:szCs w:val="20"/>
        </w:rPr>
        <w:t>expectations</w:t>
      </w:r>
      <w:r>
        <w:rPr>
          <w:rFonts w:ascii="Arial" w:hAnsi="Arial"/>
          <w:sz w:val="20"/>
          <w:szCs w:val="20"/>
        </w:rPr>
        <w:t xml:space="preserve"> in 2021</w:t>
      </w:r>
    </w:p>
    <w:p w14:paraId="5D0B1BD7" w14:textId="5C04F302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Meeting approved the remuneration and bonus for the Board of Directors, the Supervisory Board, the Executive Board and diplomatic expense in 2020 and </w:t>
      </w:r>
      <w:r w:rsidR="00FA6898">
        <w:rPr>
          <w:rFonts w:ascii="Arial" w:hAnsi="Arial"/>
          <w:sz w:val="20"/>
          <w:szCs w:val="20"/>
        </w:rPr>
        <w:t>expectations</w:t>
      </w:r>
      <w:r>
        <w:rPr>
          <w:rFonts w:ascii="Arial" w:hAnsi="Arial"/>
          <w:sz w:val="20"/>
          <w:szCs w:val="20"/>
        </w:rPr>
        <w:t xml:space="preserve"> in 2021.</w:t>
      </w:r>
    </w:p>
    <w:p w14:paraId="0E37F8A0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In 2020:</w:t>
      </w:r>
    </w:p>
    <w:p w14:paraId="1449CCB9" w14:textId="77777777" w:rsidR="00652173" w:rsidRPr="009911CF" w:rsidRDefault="009911CF" w:rsidP="00E27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total remuneration of the Board of Directors and the Supervisory Board is VND 66,000,000/month (income after tax).</w:t>
      </w:r>
    </w:p>
    <w:p w14:paraId="6E3F8A54" w14:textId="77777777" w:rsidR="00652173" w:rsidRPr="009911CF" w:rsidRDefault="009911CF" w:rsidP="00E27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bonus for the Board of Directors, the Supervisory Board, the Executive Board and diplomatic expense is 3% of profit after tax.</w:t>
      </w:r>
    </w:p>
    <w:p w14:paraId="16AAB067" w14:textId="77777777" w:rsidR="00652173" w:rsidRPr="009911CF" w:rsidRDefault="009911CF" w:rsidP="00E27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2021 Plan:</w:t>
      </w:r>
    </w:p>
    <w:p w14:paraId="2D3E2ADF" w14:textId="77777777" w:rsidR="00652173" w:rsidRPr="009911CF" w:rsidRDefault="009911CF" w:rsidP="00E27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total remuneration of the Board of Directors and the Supervisory Board remains the same as in 2020.</w:t>
      </w:r>
    </w:p>
    <w:p w14:paraId="44FF837B" w14:textId="77777777" w:rsidR="00652173" w:rsidRPr="009911CF" w:rsidRDefault="009911CF" w:rsidP="00E27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bonus for the Board of Directors, the Supervisory Board, the Executive Board and diplomatic expense is 3% of profit after tax and 10% of profit after tax exceeding the plan after reducing deductions.</w:t>
      </w:r>
    </w:p>
    <w:p w14:paraId="1963D0B1" w14:textId="77777777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authorized the Board of Directors to decide on the specific distribution plan.</w:t>
      </w:r>
    </w:p>
    <w:p w14:paraId="2549C2F6" w14:textId="6A9FE2DC" w:rsidR="00652173" w:rsidRPr="00FC0341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  <w:lang w:val="vi-VN"/>
        </w:rPr>
      </w:pPr>
      <w:r>
        <w:rPr>
          <w:rFonts w:ascii="Arial" w:hAnsi="Arial"/>
          <w:sz w:val="20"/>
          <w:szCs w:val="20"/>
        </w:rPr>
        <w:t xml:space="preserve">‎‎Article 7. Approve the restructuring of investments and business lines of the Corporation: Approve the authorization for the Board of Directors to find partners to divest in accordance with the law of inefficient, long-standing backlog investments due to institutional and non-industry problems in order to concentrate capital to develop core business lines with </w:t>
      </w:r>
      <w:r w:rsidR="009C2C0E">
        <w:rPr>
          <w:rFonts w:ascii="Arial" w:hAnsi="Arial"/>
          <w:sz w:val="20"/>
          <w:szCs w:val="20"/>
        </w:rPr>
        <w:t>high</w:t>
      </w:r>
      <w:r>
        <w:rPr>
          <w:rFonts w:ascii="Arial" w:hAnsi="Arial"/>
          <w:sz w:val="20"/>
          <w:szCs w:val="20"/>
        </w:rPr>
        <w:t xml:space="preserve"> efficiency of the Corporation</w:t>
      </w:r>
      <w:r w:rsidR="00FC0341">
        <w:rPr>
          <w:rFonts w:ascii="Arial" w:hAnsi="Arial"/>
          <w:sz w:val="20"/>
          <w:szCs w:val="20"/>
          <w:lang w:val="vi-VN"/>
        </w:rPr>
        <w:t>.</w:t>
      </w:r>
    </w:p>
    <w:p w14:paraId="19C914BC" w14:textId="47DC0B56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8. </w:t>
      </w:r>
      <w:r w:rsidR="00372BFB">
        <w:rPr>
          <w:rFonts w:ascii="Arial" w:hAnsi="Arial"/>
          <w:sz w:val="20"/>
          <w:szCs w:val="20"/>
        </w:rPr>
        <w:t xml:space="preserve">Effect </w:t>
      </w:r>
    </w:p>
    <w:p w14:paraId="522D4112" w14:textId="0AE8DDEA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General Mandate was approved in full by the Annual General Meeting of Shareholders 2021 of </w:t>
      </w:r>
      <w:proofErr w:type="spellStart"/>
      <w:r>
        <w:rPr>
          <w:rFonts w:ascii="Arial" w:hAnsi="Arial"/>
          <w:sz w:val="20"/>
          <w:szCs w:val="20"/>
        </w:rPr>
        <w:t>Phong</w:t>
      </w:r>
      <w:proofErr w:type="spellEnd"/>
      <w:r>
        <w:rPr>
          <w:rFonts w:ascii="Arial" w:hAnsi="Arial"/>
          <w:sz w:val="20"/>
          <w:szCs w:val="20"/>
        </w:rPr>
        <w:t xml:space="preserve"> Phu Corporation at the </w:t>
      </w:r>
      <w:r w:rsidR="00FD6F08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eeting and t</w:t>
      </w:r>
      <w:r w:rsidR="00FC0341">
        <w:rPr>
          <w:rFonts w:ascii="Arial" w:hAnsi="Arial"/>
          <w:sz w:val="20"/>
          <w:szCs w:val="20"/>
          <w:lang w:val="vi-VN"/>
        </w:rPr>
        <w:t>ook</w:t>
      </w:r>
      <w:r>
        <w:rPr>
          <w:rFonts w:ascii="Arial" w:hAnsi="Arial"/>
          <w:sz w:val="20"/>
          <w:szCs w:val="20"/>
        </w:rPr>
        <w:t xml:space="preserve"> effect from September 25, 2021.</w:t>
      </w:r>
    </w:p>
    <w:p w14:paraId="2D262209" w14:textId="77777777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Board of Directors is responsible for publishing the General Mandate on the Corporation's website in accordance with the provisions of Law and the Corporation’s Charter.</w:t>
      </w:r>
    </w:p>
    <w:p w14:paraId="2AF48C96" w14:textId="632B53B8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‎‎Article 9. </w:t>
      </w:r>
      <w:r w:rsidR="00DF1CC4">
        <w:rPr>
          <w:rFonts w:ascii="Arial" w:hAnsi="Arial"/>
          <w:sz w:val="20"/>
          <w:szCs w:val="20"/>
        </w:rPr>
        <w:t>Terms of enforcement</w:t>
      </w:r>
    </w:p>
    <w:p w14:paraId="02C21DC1" w14:textId="1126AE14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agreed to assign the Board of D</w:t>
      </w:r>
      <w:bookmarkStart w:id="1" w:name="_GoBack"/>
      <w:bookmarkEnd w:id="1"/>
      <w:r>
        <w:rPr>
          <w:rFonts w:ascii="Arial" w:hAnsi="Arial"/>
          <w:sz w:val="20"/>
          <w:szCs w:val="20"/>
        </w:rPr>
        <w:t xml:space="preserve">irectors, the Supervisory Board and the Executive Board to </w:t>
      </w:r>
      <w:r w:rsidR="00A71BAF">
        <w:rPr>
          <w:rFonts w:ascii="Arial" w:hAnsi="Arial"/>
          <w:sz w:val="20"/>
          <w:szCs w:val="20"/>
        </w:rPr>
        <w:t xml:space="preserve">take responsibility </w:t>
      </w:r>
      <w:r>
        <w:rPr>
          <w:rFonts w:ascii="Arial" w:hAnsi="Arial"/>
          <w:sz w:val="20"/>
          <w:szCs w:val="20"/>
        </w:rPr>
        <w:t>for disseminating, implementing and monitoring the implementation process in the spirit of the General Mandate.</w:t>
      </w:r>
    </w:p>
    <w:p w14:paraId="6BFC1E9F" w14:textId="77777777" w:rsidR="00652173" w:rsidRPr="009911CF" w:rsidRDefault="009911CF" w:rsidP="00E27EEA">
      <w:p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shareholders of </w:t>
      </w:r>
      <w:proofErr w:type="spellStart"/>
      <w:r>
        <w:rPr>
          <w:rFonts w:ascii="Arial" w:hAnsi="Arial"/>
          <w:sz w:val="20"/>
          <w:szCs w:val="20"/>
        </w:rPr>
        <w:t>Phong</w:t>
      </w:r>
      <w:proofErr w:type="spellEnd"/>
      <w:r>
        <w:rPr>
          <w:rFonts w:ascii="Arial" w:hAnsi="Arial"/>
          <w:sz w:val="20"/>
          <w:szCs w:val="20"/>
        </w:rPr>
        <w:t xml:space="preserve"> Phu Corporation, members of the Board of Directors, the Supervisory Board, the Executive Board and all employees of the Corporation are responsible for implementing this General Mandate.</w:t>
      </w:r>
    </w:p>
    <w:sectPr w:rsidR="00652173" w:rsidRPr="009911CF">
      <w:pgSz w:w="11909" w:h="16840"/>
      <w:pgMar w:top="1440" w:right="1440" w:bottom="1440" w:left="1440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5B7"/>
    <w:multiLevelType w:val="multilevel"/>
    <w:tmpl w:val="2E7E087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94C050E"/>
    <w:multiLevelType w:val="multilevel"/>
    <w:tmpl w:val="A618838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62A18BB"/>
    <w:multiLevelType w:val="multilevel"/>
    <w:tmpl w:val="C83C445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3"/>
    <w:rsid w:val="000478AC"/>
    <w:rsid w:val="00200482"/>
    <w:rsid w:val="00217066"/>
    <w:rsid w:val="00332732"/>
    <w:rsid w:val="00372BFB"/>
    <w:rsid w:val="0039267B"/>
    <w:rsid w:val="004A155A"/>
    <w:rsid w:val="004A5332"/>
    <w:rsid w:val="004C040F"/>
    <w:rsid w:val="0055022F"/>
    <w:rsid w:val="00603D56"/>
    <w:rsid w:val="00652173"/>
    <w:rsid w:val="00847741"/>
    <w:rsid w:val="008E69C1"/>
    <w:rsid w:val="009911CF"/>
    <w:rsid w:val="00992489"/>
    <w:rsid w:val="009C2C0E"/>
    <w:rsid w:val="00A71BAF"/>
    <w:rsid w:val="00B45C8C"/>
    <w:rsid w:val="00C35E2F"/>
    <w:rsid w:val="00C61C57"/>
    <w:rsid w:val="00CD0D48"/>
    <w:rsid w:val="00CD180C"/>
    <w:rsid w:val="00DF1CC4"/>
    <w:rsid w:val="00E27EEA"/>
    <w:rsid w:val="00E51FC7"/>
    <w:rsid w:val="00F86953"/>
    <w:rsid w:val="00FA6898"/>
    <w:rsid w:val="00FC0341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9FA"/>
  <w15:docId w15:val="{875E7E83-49A2-4416-836D-0B50B8B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 w:line="259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after="40" w:line="259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after="40"/>
      <w:ind w:left="42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deh1tUEhFhdYxCfRG0LA25QJQ==">AMUW2mU1WO5iS7pOeLz7AkJA0Dnfd9B38I/LYWd+r4lGkCstYH6lb+TLDMDH7AX7wk4PexegG9/jnORMD5PdFYmlJvtCc0mBtI8G7LZJbO5W5ZPK2ohiYlwhRIYXF5CglWCiRkvV/p/1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32</cp:revision>
  <dcterms:created xsi:type="dcterms:W3CDTF">2021-09-28T04:17:00Z</dcterms:created>
  <dcterms:modified xsi:type="dcterms:W3CDTF">2021-09-30T02:25:00Z</dcterms:modified>
</cp:coreProperties>
</file>